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86EB5" w14:textId="77777777" w:rsidR="00F25883" w:rsidRDefault="00F25883" w:rsidP="00DD75A5">
      <w:pPr>
        <w:pStyle w:val="Nagwek1"/>
        <w:numPr>
          <w:ilvl w:val="0"/>
          <w:numId w:val="0"/>
        </w:numPr>
        <w:ind w:left="284"/>
      </w:pPr>
      <w:bookmarkStart w:id="0" w:name="_Toc456865590"/>
      <w:bookmarkStart w:id="1" w:name="_Toc457043909"/>
      <w:bookmarkStart w:id="2" w:name="_Toc457046010"/>
      <w:r>
        <w:t>ZAkres współdziałania</w:t>
      </w:r>
    </w:p>
    <w:p w14:paraId="01BBCD0E" w14:textId="77777777" w:rsidR="00F25883" w:rsidRDefault="00F25883" w:rsidP="00DD75A5">
      <w:pPr>
        <w:suppressAutoHyphens w:val="0"/>
        <w:spacing w:line="276" w:lineRule="auto"/>
        <w:ind w:left="284"/>
        <w:rPr>
          <w:rFonts w:ascii="Arial Narrow" w:hAnsi="Arial Narrow" w:cs="Arial"/>
          <w:bCs/>
          <w:color w:val="000000" w:themeColor="text1"/>
        </w:rPr>
      </w:pPr>
    </w:p>
    <w:p w14:paraId="1CB64783" w14:textId="77777777" w:rsidR="00F25883" w:rsidRPr="008548D0" w:rsidRDefault="00F25883" w:rsidP="00DD75A5">
      <w:pPr>
        <w:suppressAutoHyphens w:val="0"/>
        <w:spacing w:line="276" w:lineRule="auto"/>
        <w:ind w:left="284"/>
        <w:rPr>
          <w:rFonts w:ascii="Arial Narrow" w:hAnsi="Arial Narrow" w:cs="Arial"/>
          <w:bCs/>
          <w:color w:val="000000" w:themeColor="text1"/>
        </w:rPr>
      </w:pPr>
      <w:r w:rsidRPr="008548D0">
        <w:rPr>
          <w:rFonts w:ascii="Arial Narrow" w:hAnsi="Arial Narrow" w:cs="Arial"/>
          <w:bCs/>
          <w:color w:val="000000" w:themeColor="text1"/>
        </w:rPr>
        <w:t>W ramach realizacji Wdrożenia Systemu Zamawiający zapewni Wykonawcy:</w:t>
      </w:r>
      <w:bookmarkEnd w:id="0"/>
      <w:bookmarkEnd w:id="1"/>
      <w:bookmarkEnd w:id="2"/>
    </w:p>
    <w:p w14:paraId="17E233A1" w14:textId="101663DF" w:rsidR="00F25883" w:rsidRPr="008548D0" w:rsidRDefault="00F25883" w:rsidP="00DD75A5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bCs/>
          <w:color w:val="000000" w:themeColor="text1"/>
        </w:rPr>
      </w:pPr>
      <w:bookmarkStart w:id="3" w:name="_Toc456865591"/>
      <w:bookmarkStart w:id="4" w:name="_Toc457043910"/>
      <w:bookmarkStart w:id="5" w:name="_Toc457046011"/>
      <w:r w:rsidRPr="008548D0">
        <w:rPr>
          <w:rFonts w:ascii="Arial Narrow" w:hAnsi="Arial Narrow" w:cs="Arial"/>
          <w:bCs/>
          <w:color w:val="000000" w:themeColor="text1"/>
        </w:rPr>
        <w:t>udział swoich odpowiednio wykwalifikowanych pracowników lub współpracowników do współpracy z Personelem Wykonawcy i zapewni ich zaangażowanie w stopniu umożliwiającym realizację Umowy</w:t>
      </w:r>
      <w:r w:rsidR="005A0F09">
        <w:rPr>
          <w:rFonts w:ascii="Arial Narrow" w:hAnsi="Arial Narrow" w:cs="Arial"/>
          <w:bCs/>
          <w:color w:val="000000" w:themeColor="text1"/>
        </w:rPr>
        <w:t xml:space="preserve"> </w:t>
      </w:r>
      <w:bookmarkEnd w:id="3"/>
      <w:bookmarkEnd w:id="4"/>
      <w:bookmarkEnd w:id="5"/>
    </w:p>
    <w:p w14:paraId="5BE35318" w14:textId="77777777" w:rsidR="00F25883" w:rsidRPr="008548D0" w:rsidRDefault="00F25883" w:rsidP="00DD75A5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bCs/>
          <w:color w:val="000000" w:themeColor="text1"/>
        </w:rPr>
      </w:pPr>
      <w:bookmarkStart w:id="6" w:name="_Toc456865592"/>
      <w:bookmarkStart w:id="7" w:name="_Toc457043911"/>
      <w:bookmarkStart w:id="8" w:name="_Toc457046012"/>
      <w:r w:rsidRPr="008548D0">
        <w:rPr>
          <w:rFonts w:ascii="Arial Narrow" w:hAnsi="Arial Narrow" w:cs="Arial"/>
          <w:bCs/>
          <w:color w:val="000000" w:themeColor="text1"/>
        </w:rPr>
        <w:t>niezbędny, w celu wykonania Umowy, dostęp do pomieszczeń Zamawiającego oraz do sieci komputerowej;</w:t>
      </w:r>
      <w:bookmarkEnd w:id="6"/>
      <w:bookmarkEnd w:id="7"/>
      <w:bookmarkEnd w:id="8"/>
    </w:p>
    <w:p w14:paraId="3AF7B4FB" w14:textId="2FEAA00F" w:rsidR="00F25883" w:rsidRPr="008548D0" w:rsidRDefault="00F25883" w:rsidP="00DD75A5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bCs/>
          <w:color w:val="000000" w:themeColor="text1"/>
        </w:rPr>
      </w:pPr>
      <w:r w:rsidRPr="008548D0">
        <w:rPr>
          <w:rFonts w:ascii="Arial Narrow" w:hAnsi="Arial Narrow" w:cs="Arial"/>
          <w:bCs/>
          <w:color w:val="000000" w:themeColor="text1"/>
        </w:rPr>
        <w:t xml:space="preserve">umożliwienie podłączenia komputerów Personelu Wykonawcy (zgodnie z Procedurą Ogólną Bezpieczeństwa Teleinformatycznego PROG </w:t>
      </w:r>
      <w:r w:rsidR="005A3779">
        <w:rPr>
          <w:rFonts w:ascii="Arial Narrow" w:hAnsi="Arial Narrow" w:cs="Arial"/>
          <w:bCs/>
          <w:color w:val="000000" w:themeColor="text1"/>
        </w:rPr>
        <w:t>00039/B</w:t>
      </w:r>
      <w:r w:rsidRPr="008548D0">
        <w:rPr>
          <w:rFonts w:ascii="Arial Narrow" w:hAnsi="Arial Narrow" w:cs="Arial"/>
          <w:bCs/>
          <w:color w:val="000000" w:themeColor="text1"/>
        </w:rPr>
        <w:t xml:space="preserve"> stanowiącą </w:t>
      </w:r>
      <w:r w:rsidRPr="00116F1A">
        <w:rPr>
          <w:rFonts w:ascii="Arial Narrow" w:hAnsi="Arial Narrow" w:cs="Arial"/>
          <w:b/>
          <w:bCs/>
          <w:color w:val="000000" w:themeColor="text1"/>
        </w:rPr>
        <w:t>Załącznik nr 1</w:t>
      </w:r>
      <w:r w:rsidR="009A0201">
        <w:rPr>
          <w:rFonts w:ascii="Arial Narrow" w:hAnsi="Arial Narrow" w:cs="Arial"/>
          <w:b/>
          <w:bCs/>
          <w:color w:val="000000" w:themeColor="text1"/>
        </w:rPr>
        <w:t>4</w:t>
      </w:r>
      <w:r w:rsidR="005A3E6A">
        <w:rPr>
          <w:rFonts w:ascii="Arial Narrow" w:hAnsi="Arial Narrow" w:cs="Arial"/>
          <w:bCs/>
          <w:color w:val="000000" w:themeColor="text1"/>
        </w:rPr>
        <w:t xml:space="preserve"> [</w:t>
      </w:r>
      <w:r w:rsidR="005A3E6A" w:rsidRPr="00DE18D7">
        <w:rPr>
          <w:rFonts w:ascii="Arial Narrow" w:hAnsi="Arial Narrow" w:cs="Arial"/>
        </w:rPr>
        <w:t>Procedura Ogólna Bezpieczeństwa Teleinformatycznego (PROG 00039/B)</w:t>
      </w:r>
      <w:r w:rsidR="005A3E6A">
        <w:rPr>
          <w:rFonts w:ascii="Arial Narrow" w:hAnsi="Arial Narrow" w:cs="Arial"/>
        </w:rPr>
        <w:t>]</w:t>
      </w:r>
      <w:r w:rsidRPr="008548D0">
        <w:rPr>
          <w:rFonts w:ascii="Arial Narrow" w:hAnsi="Arial Narrow" w:cs="Arial"/>
          <w:bCs/>
          <w:color w:val="000000" w:themeColor="text1"/>
        </w:rPr>
        <w:t xml:space="preserve"> do infrastruktury sieciowej z uprawnieniami administracyjnymi do systemów objętych instalacją oraz z dostępem do sieci Internet lub przekazanie równorzędnych stacji roboczych Zamawiającego do dyspozycji Wykonawcy – decyzja będzie należała do Zamawiającego</w:t>
      </w:r>
      <w:r>
        <w:rPr>
          <w:rFonts w:ascii="Arial Narrow" w:hAnsi="Arial Narrow" w:cs="Arial"/>
          <w:bCs/>
          <w:color w:val="000000" w:themeColor="text1"/>
        </w:rPr>
        <w:t>;</w:t>
      </w:r>
    </w:p>
    <w:p w14:paraId="4BE6E54A" w14:textId="20343ABC" w:rsidR="00F25883" w:rsidRPr="008548D0" w:rsidRDefault="00F25883" w:rsidP="61ECC5F2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color w:val="000000" w:themeColor="text1"/>
        </w:rPr>
      </w:pPr>
      <w:bookmarkStart w:id="9" w:name="_Toc456865594"/>
      <w:bookmarkStart w:id="10" w:name="_Toc457043913"/>
      <w:bookmarkStart w:id="11" w:name="_Toc457046014"/>
      <w:r w:rsidRPr="4ECA2335">
        <w:rPr>
          <w:rFonts w:ascii="Arial Narrow" w:hAnsi="Arial Narrow" w:cs="Arial"/>
          <w:color w:val="000000" w:themeColor="text1"/>
        </w:rPr>
        <w:t xml:space="preserve">udostępnienie (na warunkach Zamawiającego) zdalnego bezpiecznego dostępu do sieci Zamawiającego w technologii VPN Client wskazanym pracownikom Personelu Wykonawcy w celu świadczenia usług objętych Umową, jeśli będzie taka potrzeba, co zostanie ustalone decyzją Zamawiającego na etapie </w:t>
      </w:r>
      <w:r w:rsidR="659FEF4D" w:rsidRPr="4ECA2335">
        <w:rPr>
          <w:rFonts w:ascii="Arial Narrow" w:hAnsi="Arial Narrow" w:cs="Arial"/>
          <w:color w:val="000000" w:themeColor="text1"/>
        </w:rPr>
        <w:t>Analizy</w:t>
      </w:r>
      <w:r w:rsidRPr="4ECA2335">
        <w:rPr>
          <w:rFonts w:ascii="Arial Narrow" w:hAnsi="Arial Narrow" w:cs="Arial"/>
          <w:color w:val="000000" w:themeColor="text1"/>
        </w:rPr>
        <w:t>;</w:t>
      </w:r>
      <w:bookmarkEnd w:id="9"/>
      <w:bookmarkEnd w:id="10"/>
      <w:bookmarkEnd w:id="11"/>
    </w:p>
    <w:p w14:paraId="68F29D9A" w14:textId="480E715A" w:rsidR="00F25883" w:rsidRPr="008548D0" w:rsidRDefault="3BED6BE2" w:rsidP="58D22D56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color w:val="000000" w:themeColor="text1"/>
        </w:rPr>
      </w:pPr>
      <w:bookmarkStart w:id="12" w:name="_Toc456865596"/>
      <w:bookmarkStart w:id="13" w:name="_Toc457043915"/>
      <w:bookmarkStart w:id="14" w:name="_Toc457046016"/>
      <w:r w:rsidRPr="4ECA2335">
        <w:rPr>
          <w:rFonts w:ascii="Arial Narrow" w:hAnsi="Arial Narrow" w:cs="Arial"/>
          <w:color w:val="000000" w:themeColor="text1"/>
        </w:rPr>
        <w:t>dostęp do infrastruktury niezbędnej do podłączenia Systemu w wyznaczonym przez Strony terminie opisanym w Harmonogramie Szczegółowym lub</w:t>
      </w:r>
      <w:r w:rsidR="1E9CE61B" w:rsidRPr="4ECA2335">
        <w:rPr>
          <w:rFonts w:ascii="Arial Narrow" w:hAnsi="Arial Narrow" w:cs="Arial"/>
          <w:color w:val="000000" w:themeColor="text1"/>
        </w:rPr>
        <w:t xml:space="preserve"> </w:t>
      </w:r>
      <w:r w:rsidR="3F600ED5" w:rsidRPr="4ECA2335">
        <w:rPr>
          <w:rFonts w:ascii="Arial Narrow" w:hAnsi="Arial Narrow" w:cs="Arial"/>
          <w:color w:val="000000" w:themeColor="text1"/>
        </w:rPr>
        <w:t>w ramach Etapu Analizy</w:t>
      </w:r>
      <w:bookmarkEnd w:id="12"/>
      <w:bookmarkEnd w:id="13"/>
      <w:bookmarkEnd w:id="14"/>
      <w:r w:rsidRPr="4ECA2335">
        <w:rPr>
          <w:rFonts w:ascii="Arial Narrow" w:hAnsi="Arial Narrow" w:cs="Arial"/>
          <w:color w:val="000000" w:themeColor="text1"/>
        </w:rPr>
        <w:t>;</w:t>
      </w:r>
    </w:p>
    <w:p w14:paraId="3E951EA6" w14:textId="045AB769" w:rsidR="00F25883" w:rsidRPr="008548D0" w:rsidRDefault="3BED6BE2" w:rsidP="7EFCE3CC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color w:val="000000" w:themeColor="text1"/>
        </w:rPr>
      </w:pPr>
      <w:bookmarkStart w:id="15" w:name="_Toc456865597"/>
      <w:bookmarkStart w:id="16" w:name="_Toc457043916"/>
      <w:bookmarkStart w:id="17" w:name="_Toc457046017"/>
      <w:r w:rsidRPr="4ECA2335">
        <w:rPr>
          <w:rFonts w:ascii="Arial Narrow" w:hAnsi="Arial Narrow" w:cs="Arial"/>
          <w:color w:val="000000" w:themeColor="text1"/>
        </w:rPr>
        <w:t xml:space="preserve">współpracę z Wykonawcą w zakresie pozyskania informacji na wniosek Wykonawcy na temat charakterystyki systemów teleinformatycznych Zamawiającego, niezbędnych do </w:t>
      </w:r>
      <w:r w:rsidR="2F7DCDCC" w:rsidRPr="4ECA2335">
        <w:rPr>
          <w:rFonts w:ascii="Arial Narrow" w:hAnsi="Arial Narrow" w:cs="Arial"/>
          <w:color w:val="000000" w:themeColor="text1"/>
        </w:rPr>
        <w:t>ukończenia Etapu Analizy</w:t>
      </w:r>
      <w:r w:rsidRPr="4ECA2335">
        <w:rPr>
          <w:rFonts w:ascii="Arial Narrow" w:hAnsi="Arial Narrow" w:cs="Arial"/>
          <w:color w:val="000000" w:themeColor="text1"/>
        </w:rPr>
        <w:t xml:space="preserve"> i </w:t>
      </w:r>
      <w:r w:rsidR="01E7C74B" w:rsidRPr="4ECA2335">
        <w:rPr>
          <w:rFonts w:ascii="Arial Narrow" w:hAnsi="Arial Narrow" w:cs="Arial"/>
          <w:color w:val="000000" w:themeColor="text1"/>
        </w:rPr>
        <w:t xml:space="preserve">opracowania </w:t>
      </w:r>
      <w:r w:rsidR="2302989B" w:rsidRPr="4ECA2335">
        <w:rPr>
          <w:rFonts w:ascii="Arial Narrow" w:hAnsi="Arial Narrow" w:cs="Arial"/>
          <w:color w:val="000000" w:themeColor="text1"/>
        </w:rPr>
        <w:t>Dokumentacji</w:t>
      </w:r>
      <w:r w:rsidRPr="4ECA2335">
        <w:rPr>
          <w:rFonts w:ascii="Arial Narrow" w:hAnsi="Arial Narrow" w:cs="Arial"/>
          <w:color w:val="000000" w:themeColor="text1"/>
        </w:rPr>
        <w:t>, w szczególności poprzez umożliwienie spotkań z osobami posiadającymi wiedzę na temat systemów teleinformatycznych oraz udzielania odpowiedzi na zadane pytania w zakresie prac będących przedmiotem Umowy</w:t>
      </w:r>
      <w:bookmarkEnd w:id="15"/>
      <w:bookmarkEnd w:id="16"/>
      <w:bookmarkEnd w:id="17"/>
      <w:r w:rsidRPr="4ECA2335">
        <w:rPr>
          <w:rFonts w:ascii="Arial Narrow" w:hAnsi="Arial Narrow" w:cs="Arial"/>
          <w:color w:val="000000" w:themeColor="text1"/>
        </w:rPr>
        <w:t>;</w:t>
      </w:r>
    </w:p>
    <w:p w14:paraId="79C589E3" w14:textId="2425FD34" w:rsidR="00F25883" w:rsidRPr="008548D0" w:rsidRDefault="00F25883" w:rsidP="00DD75A5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bCs/>
          <w:color w:val="000000" w:themeColor="text1"/>
        </w:rPr>
      </w:pPr>
      <w:bookmarkStart w:id="18" w:name="_Toc456865599"/>
      <w:bookmarkStart w:id="19" w:name="_Toc457043918"/>
      <w:bookmarkStart w:id="20" w:name="_Toc457046019"/>
      <w:r w:rsidRPr="008548D0">
        <w:rPr>
          <w:rFonts w:ascii="Arial Narrow" w:hAnsi="Arial Narrow" w:cs="Arial"/>
          <w:bCs/>
          <w:color w:val="000000" w:themeColor="text1"/>
        </w:rPr>
        <w:t>udostępnienie stanowisk pracy spełniających wymagania BHP dla przedstawicieli</w:t>
      </w:r>
      <w:r>
        <w:rPr>
          <w:rFonts w:ascii="Arial Narrow" w:hAnsi="Arial Narrow" w:cs="Arial"/>
          <w:bCs/>
          <w:color w:val="000000" w:themeColor="text1"/>
        </w:rPr>
        <w:t xml:space="preserve"> </w:t>
      </w:r>
      <w:r w:rsidRPr="008548D0">
        <w:rPr>
          <w:rFonts w:ascii="Arial Narrow" w:hAnsi="Arial Narrow" w:cs="Arial"/>
          <w:bCs/>
          <w:color w:val="000000" w:themeColor="text1"/>
        </w:rPr>
        <w:t>Wykonawcy realizujących prace w siedzibie</w:t>
      </w:r>
      <w:r w:rsidR="005F246B">
        <w:rPr>
          <w:rFonts w:ascii="Arial Narrow" w:hAnsi="Arial Narrow" w:cs="Arial"/>
          <w:bCs/>
          <w:color w:val="000000" w:themeColor="text1"/>
        </w:rPr>
        <w:t xml:space="preserve"> lub innych lokalizacjach</w:t>
      </w:r>
      <w:r w:rsidRPr="008548D0">
        <w:rPr>
          <w:rFonts w:ascii="Arial Narrow" w:hAnsi="Arial Narrow" w:cs="Arial"/>
          <w:bCs/>
          <w:color w:val="000000" w:themeColor="text1"/>
        </w:rPr>
        <w:t xml:space="preserve"> Zamawiającego</w:t>
      </w:r>
      <w:bookmarkEnd w:id="18"/>
      <w:bookmarkEnd w:id="19"/>
      <w:bookmarkEnd w:id="20"/>
      <w:r w:rsidRPr="008548D0">
        <w:rPr>
          <w:rFonts w:ascii="Arial Narrow" w:hAnsi="Arial Narrow" w:cs="Arial"/>
          <w:bCs/>
          <w:color w:val="000000" w:themeColor="text1"/>
        </w:rPr>
        <w:t>;</w:t>
      </w:r>
    </w:p>
    <w:p w14:paraId="2A47C386" w14:textId="7B15EA65" w:rsidR="00F25883" w:rsidRPr="008548D0" w:rsidRDefault="3BED6BE2" w:rsidP="7EFCE3CC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 Narrow" w:hAnsi="Arial Narrow" w:cs="Arial"/>
          <w:color w:val="000000" w:themeColor="text1"/>
        </w:rPr>
      </w:pPr>
      <w:bookmarkStart w:id="21" w:name="_Toc456865600"/>
      <w:bookmarkStart w:id="22" w:name="_Toc457043919"/>
      <w:bookmarkStart w:id="23" w:name="_Toc457046020"/>
      <w:r w:rsidRPr="4ECA2335">
        <w:rPr>
          <w:rFonts w:ascii="Arial Narrow" w:hAnsi="Arial Narrow" w:cs="Arial"/>
          <w:color w:val="000000" w:themeColor="text1"/>
        </w:rPr>
        <w:t xml:space="preserve">spełnienie wymagań, szczegółowo opisanych przez Wykonawcę </w:t>
      </w:r>
      <w:r w:rsidR="4E2EBCDA" w:rsidRPr="4ECA2335">
        <w:rPr>
          <w:rFonts w:ascii="Arial Narrow" w:hAnsi="Arial Narrow" w:cs="Arial"/>
          <w:color w:val="000000" w:themeColor="text1"/>
        </w:rPr>
        <w:t>na Etapie Analizy</w:t>
      </w:r>
      <w:r w:rsidRPr="4ECA2335">
        <w:rPr>
          <w:rFonts w:ascii="Arial Narrow" w:hAnsi="Arial Narrow" w:cs="Arial"/>
          <w:color w:val="000000" w:themeColor="text1"/>
        </w:rPr>
        <w:t>, w zakresie komunikacji sieciowej pomiędzy komponentami Systemu oraz pomiędzy Systemem i systemami teleinformatycznymi Zamawiającego</w:t>
      </w:r>
      <w:bookmarkEnd w:id="21"/>
      <w:bookmarkEnd w:id="22"/>
      <w:bookmarkEnd w:id="23"/>
      <w:r w:rsidRPr="4ECA2335">
        <w:rPr>
          <w:rFonts w:ascii="Arial Narrow" w:hAnsi="Arial Narrow" w:cs="Arial"/>
          <w:color w:val="000000" w:themeColor="text1"/>
        </w:rPr>
        <w:t>;</w:t>
      </w:r>
      <w:r w:rsidR="622984B5" w:rsidRPr="4ECA2335">
        <w:rPr>
          <w:rFonts w:ascii="Arial Narrow" w:hAnsi="Arial Narrow" w:cs="Arial"/>
          <w:color w:val="000000" w:themeColor="text1"/>
        </w:rPr>
        <w:t xml:space="preserve"> z zastrzeżeniem jednak, iż Zamawiający w trakcie realizacji </w:t>
      </w:r>
      <w:r w:rsidR="2E69F186" w:rsidRPr="4ECA2335">
        <w:rPr>
          <w:rFonts w:ascii="Arial Narrow" w:hAnsi="Arial Narrow" w:cs="Arial"/>
          <w:color w:val="000000" w:themeColor="text1"/>
        </w:rPr>
        <w:t>Wdrożenia</w:t>
      </w:r>
      <w:r w:rsidR="622984B5" w:rsidRPr="4ECA2335">
        <w:rPr>
          <w:rFonts w:ascii="Arial Narrow" w:hAnsi="Arial Narrow" w:cs="Arial"/>
          <w:color w:val="000000" w:themeColor="text1"/>
        </w:rPr>
        <w:t xml:space="preserve">, w zakresie ww. wymagań będzie na bieżąco informowany o tych wymaganiach i będzie miał prawo zgłosić do nich zastrzeżenia lub uwagi, które uwzględni Wykonawca w finalnej treści </w:t>
      </w:r>
      <w:r w:rsidR="74A4475A" w:rsidRPr="4ECA2335">
        <w:rPr>
          <w:rFonts w:ascii="Arial Narrow" w:hAnsi="Arial Narrow" w:cs="Arial"/>
          <w:color w:val="000000" w:themeColor="text1"/>
        </w:rPr>
        <w:t>dokumentów Etapu Analizy</w:t>
      </w:r>
      <w:r w:rsidR="622984B5" w:rsidRPr="4ECA2335">
        <w:rPr>
          <w:rFonts w:ascii="Arial Narrow" w:hAnsi="Arial Narrow" w:cs="Arial"/>
          <w:color w:val="000000" w:themeColor="text1"/>
        </w:rPr>
        <w:t xml:space="preserve">; </w:t>
      </w:r>
    </w:p>
    <w:p w14:paraId="1E24C17A" w14:textId="55210D20" w:rsidR="00F25883" w:rsidRPr="00940F9D" w:rsidRDefault="3BED6BE2" w:rsidP="7EFCE3CC">
      <w:pPr>
        <w:numPr>
          <w:ilvl w:val="2"/>
          <w:numId w:val="2"/>
        </w:numPr>
        <w:suppressAutoHyphens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24" w:name="_Toc456865601"/>
      <w:bookmarkStart w:id="25" w:name="_Toc457043920"/>
      <w:bookmarkStart w:id="26" w:name="_Toc457046021"/>
      <w:r w:rsidRPr="4ECA2335">
        <w:rPr>
          <w:rFonts w:ascii="Arial Narrow" w:hAnsi="Arial Narrow" w:cs="Arial"/>
          <w:color w:val="000000" w:themeColor="text1"/>
        </w:rPr>
        <w:t xml:space="preserve">rekonfigurację systemów teleinformatycznych Zamawiającego, zgodnie z </w:t>
      </w:r>
      <w:r w:rsidR="511319C0" w:rsidRPr="4ECA2335">
        <w:rPr>
          <w:rFonts w:ascii="Arial Narrow" w:hAnsi="Arial Narrow" w:cs="Arial"/>
          <w:color w:val="000000" w:themeColor="text1"/>
        </w:rPr>
        <w:t xml:space="preserve">Dokumentacją opracowaną na Etapie Analizy </w:t>
      </w:r>
      <w:r w:rsidRPr="4ECA2335">
        <w:rPr>
          <w:rFonts w:ascii="Arial Narrow" w:hAnsi="Arial Narrow" w:cs="Arial"/>
          <w:color w:val="000000" w:themeColor="text1"/>
        </w:rPr>
        <w:t xml:space="preserve"> i instrukcjami dostarczonymi przez Wykonawcę (po wcześniejszym uzgodnieniu, przetestowaniu i zaakceptowaniu wymaganych zmian przez poszczególnych administratorów systemów teleinformatycznych), w celu przekazywania informacji do Systemu</w:t>
      </w:r>
      <w:bookmarkEnd w:id="24"/>
      <w:bookmarkEnd w:id="25"/>
      <w:bookmarkEnd w:id="26"/>
      <w:r w:rsidR="622984B5" w:rsidRPr="4ECA2335">
        <w:rPr>
          <w:rFonts w:ascii="Arial Narrow" w:hAnsi="Arial Narrow" w:cs="Arial"/>
          <w:color w:val="000000" w:themeColor="text1"/>
        </w:rPr>
        <w:t>, z zastrzeżeniem jednak, iż Zamawiający w trakcie realizacji Projektu Technicznego, w zakresie ww. wymagań dot. rekonfiguracji będzie na bieżąco informowany o tych wymaganiach i będzie miał prawo zgłosić do nich zastrzeżenia lub uwagi, które uwzględni Wykonawca w finalnej treści Projektu Technicznego.</w:t>
      </w:r>
    </w:p>
    <w:p w14:paraId="5A9E20B7" w14:textId="1EB093A6" w:rsidR="004A4083" w:rsidRDefault="004A4083" w:rsidP="00DD75A5">
      <w:pPr>
        <w:ind w:left="284"/>
      </w:pPr>
    </w:p>
    <w:sectPr w:rsidR="004A408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62C7" w14:textId="77777777" w:rsidR="00F3274F" w:rsidRDefault="00F3274F" w:rsidP="00F25883">
      <w:r>
        <w:separator/>
      </w:r>
    </w:p>
  </w:endnote>
  <w:endnote w:type="continuationSeparator" w:id="0">
    <w:p w14:paraId="7E6A3C07" w14:textId="77777777" w:rsidR="00F3274F" w:rsidRDefault="00F3274F" w:rsidP="00F25883">
      <w:r>
        <w:continuationSeparator/>
      </w:r>
    </w:p>
  </w:endnote>
  <w:endnote w:type="continuationNotice" w:id="1">
    <w:p w14:paraId="7A957420" w14:textId="77777777" w:rsidR="00F3274F" w:rsidRDefault="00F32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D99D9" w14:textId="77777777" w:rsidR="00F3274F" w:rsidRDefault="00F3274F" w:rsidP="00F25883">
      <w:r>
        <w:separator/>
      </w:r>
    </w:p>
  </w:footnote>
  <w:footnote w:type="continuationSeparator" w:id="0">
    <w:p w14:paraId="7DFC3A50" w14:textId="77777777" w:rsidR="00F3274F" w:rsidRDefault="00F3274F" w:rsidP="00F25883">
      <w:r>
        <w:continuationSeparator/>
      </w:r>
    </w:p>
  </w:footnote>
  <w:footnote w:type="continuationNotice" w:id="1">
    <w:p w14:paraId="0DF99375" w14:textId="77777777" w:rsidR="00F3274F" w:rsidRDefault="00F327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20FA" w14:textId="1A081A24" w:rsidR="00A00588" w:rsidRDefault="003B61F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DFA4DB" wp14:editId="2662ED2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620149782" name="Pole tekstowe 5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205BFE" w14:textId="2E75D78C" w:rsidR="003B61FE" w:rsidRPr="003B61FE" w:rsidRDefault="003B61FE" w:rsidP="003B61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B61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DFA4D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alt="Do użytku wewnętrznego w GK PGE" style="position:absolute;margin-left:113.95pt;margin-top:0;width:165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02205BFE" w14:textId="2E75D78C" w:rsidR="003B61FE" w:rsidRPr="003B61FE" w:rsidRDefault="003B61FE" w:rsidP="003B61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B61F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5A2E" w14:textId="45D231A7" w:rsidR="00F25883" w:rsidRPr="00D67E6F" w:rsidRDefault="003B61FE" w:rsidP="00F25883">
    <w:pPr>
      <w:pStyle w:val="Nagwek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noProof/>
        <w:sz w:val="22"/>
        <w:szCs w:val="22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C7BA3F" wp14:editId="7C4FDD56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354770850" name="Pole tekstowe 6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75135B" w14:textId="7B74719B" w:rsidR="003B61FE" w:rsidRPr="003B61FE" w:rsidRDefault="003B61FE" w:rsidP="003B61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B61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C7BA3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alt="Do użytku wewnętrznego w GK PGE" style="position:absolute;left:0;text-align:left;margin-left:113.95pt;margin-top:0;width:165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5975135B" w14:textId="7B74719B" w:rsidR="003B61FE" w:rsidRPr="003B61FE" w:rsidRDefault="003B61FE" w:rsidP="003B61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B61F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5883" w:rsidRPr="00D67E6F">
      <w:rPr>
        <w:rFonts w:ascii="Arial Narrow" w:hAnsi="Arial Narrow"/>
        <w:sz w:val="22"/>
        <w:szCs w:val="22"/>
      </w:rPr>
      <w:t>Załącznik nr 5</w:t>
    </w:r>
  </w:p>
  <w:p w14:paraId="435A4C36" w14:textId="77777777" w:rsidR="00F25883" w:rsidRPr="00D67E6F" w:rsidRDefault="00F25883" w:rsidP="00F25883">
    <w:pPr>
      <w:pStyle w:val="Nagwek"/>
      <w:jc w:val="right"/>
      <w:rPr>
        <w:rFonts w:ascii="Arial Narrow" w:hAnsi="Arial Narrow"/>
        <w:sz w:val="22"/>
        <w:szCs w:val="22"/>
      </w:rPr>
    </w:pPr>
    <w:r w:rsidRPr="00D67E6F">
      <w:rPr>
        <w:rFonts w:ascii="Arial Narrow" w:hAnsi="Arial Narrow"/>
        <w:sz w:val="22"/>
        <w:szCs w:val="22"/>
      </w:rPr>
      <w:t>Zakres współdziałania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08142" w14:textId="75213480" w:rsidR="00A00588" w:rsidRDefault="003B61F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5E7F817" wp14:editId="652B245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349533556" name="Pole tekstowe 4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2DECF" w14:textId="130A8424" w:rsidR="003B61FE" w:rsidRPr="003B61FE" w:rsidRDefault="003B61FE" w:rsidP="003B61F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B61F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7F817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8" type="#_x0000_t202" alt="Do użytku wewnętrznego w GK PGE" style="position:absolute;margin-left:113.95pt;margin-top:0;width:165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5362DECF" w14:textId="130A8424" w:rsidR="003B61FE" w:rsidRPr="003B61FE" w:rsidRDefault="003B61FE" w:rsidP="003B61FE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B61F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F0CDB"/>
    <w:multiLevelType w:val="multilevel"/>
    <w:tmpl w:val="D22C782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DCB03A1"/>
    <w:multiLevelType w:val="multilevel"/>
    <w:tmpl w:val="D3145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44546A" w:themeColor="text2"/>
        <w:sz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 Narrow" w:eastAsiaTheme="majorEastAsia" w:hAnsi="Arial Narrow" w:cstheme="majorBidi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22380329">
    <w:abstractNumId w:val="0"/>
  </w:num>
  <w:num w:numId="2" w16cid:durableId="1619290826">
    <w:abstractNumId w:val="1"/>
  </w:num>
  <w:num w:numId="3" w16cid:durableId="1742025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883"/>
    <w:rsid w:val="00076D6F"/>
    <w:rsid w:val="00082CA2"/>
    <w:rsid w:val="00097350"/>
    <w:rsid w:val="000C71BD"/>
    <w:rsid w:val="00146234"/>
    <w:rsid w:val="0015235A"/>
    <w:rsid w:val="001B6F99"/>
    <w:rsid w:val="001C49F7"/>
    <w:rsid w:val="001C75F5"/>
    <w:rsid w:val="0025547B"/>
    <w:rsid w:val="00280FF9"/>
    <w:rsid w:val="002A62E8"/>
    <w:rsid w:val="002E6D52"/>
    <w:rsid w:val="003109F5"/>
    <w:rsid w:val="00347BAD"/>
    <w:rsid w:val="00354C5B"/>
    <w:rsid w:val="00371145"/>
    <w:rsid w:val="0039069E"/>
    <w:rsid w:val="003B61FE"/>
    <w:rsid w:val="00421C96"/>
    <w:rsid w:val="004572EA"/>
    <w:rsid w:val="0046573E"/>
    <w:rsid w:val="00471125"/>
    <w:rsid w:val="00484D8E"/>
    <w:rsid w:val="004A4083"/>
    <w:rsid w:val="004E5563"/>
    <w:rsid w:val="004F3BF1"/>
    <w:rsid w:val="005020BA"/>
    <w:rsid w:val="00532064"/>
    <w:rsid w:val="005819E6"/>
    <w:rsid w:val="005A0F09"/>
    <w:rsid w:val="005A3779"/>
    <w:rsid w:val="005A3E6A"/>
    <w:rsid w:val="005F246B"/>
    <w:rsid w:val="00642A20"/>
    <w:rsid w:val="00664D7F"/>
    <w:rsid w:val="00685158"/>
    <w:rsid w:val="00707161"/>
    <w:rsid w:val="00716CDE"/>
    <w:rsid w:val="0072451F"/>
    <w:rsid w:val="00776F06"/>
    <w:rsid w:val="007C54FE"/>
    <w:rsid w:val="00807AE7"/>
    <w:rsid w:val="0081012C"/>
    <w:rsid w:val="0083280A"/>
    <w:rsid w:val="008404CD"/>
    <w:rsid w:val="0084080F"/>
    <w:rsid w:val="008610AD"/>
    <w:rsid w:val="00861395"/>
    <w:rsid w:val="009329C5"/>
    <w:rsid w:val="0094627B"/>
    <w:rsid w:val="0097554B"/>
    <w:rsid w:val="00993C95"/>
    <w:rsid w:val="009A0201"/>
    <w:rsid w:val="009A54F9"/>
    <w:rsid w:val="009D1F1E"/>
    <w:rsid w:val="009F384E"/>
    <w:rsid w:val="00A00588"/>
    <w:rsid w:val="00A169AA"/>
    <w:rsid w:val="00A53B4D"/>
    <w:rsid w:val="00A54E77"/>
    <w:rsid w:val="00AB3A92"/>
    <w:rsid w:val="00AC17D7"/>
    <w:rsid w:val="00B47D65"/>
    <w:rsid w:val="00B9031D"/>
    <w:rsid w:val="00BD5D61"/>
    <w:rsid w:val="00BE01BB"/>
    <w:rsid w:val="00BE0F80"/>
    <w:rsid w:val="00C1170C"/>
    <w:rsid w:val="00C17C87"/>
    <w:rsid w:val="00C34EFC"/>
    <w:rsid w:val="00C3502F"/>
    <w:rsid w:val="00CD5858"/>
    <w:rsid w:val="00D64209"/>
    <w:rsid w:val="00D67E6F"/>
    <w:rsid w:val="00D70E15"/>
    <w:rsid w:val="00D82271"/>
    <w:rsid w:val="00DD75A5"/>
    <w:rsid w:val="00DE1620"/>
    <w:rsid w:val="00DE32F8"/>
    <w:rsid w:val="00DE3B27"/>
    <w:rsid w:val="00DE7470"/>
    <w:rsid w:val="00E64AFF"/>
    <w:rsid w:val="00E93177"/>
    <w:rsid w:val="00EA11BB"/>
    <w:rsid w:val="00EE3E41"/>
    <w:rsid w:val="00EF7D8C"/>
    <w:rsid w:val="00F01E47"/>
    <w:rsid w:val="00F25883"/>
    <w:rsid w:val="00F3274F"/>
    <w:rsid w:val="00F3304B"/>
    <w:rsid w:val="00F9170A"/>
    <w:rsid w:val="00FD2A8A"/>
    <w:rsid w:val="00FE3001"/>
    <w:rsid w:val="01E7C74B"/>
    <w:rsid w:val="07710C78"/>
    <w:rsid w:val="08FFB9D6"/>
    <w:rsid w:val="0BD2FD12"/>
    <w:rsid w:val="15211588"/>
    <w:rsid w:val="1E9CE61B"/>
    <w:rsid w:val="2302989B"/>
    <w:rsid w:val="2E69F186"/>
    <w:rsid w:val="2F7DCDCC"/>
    <w:rsid w:val="3BED6BE2"/>
    <w:rsid w:val="3F600ED5"/>
    <w:rsid w:val="42B1DDD0"/>
    <w:rsid w:val="4D045C3F"/>
    <w:rsid w:val="4E2EBCDA"/>
    <w:rsid w:val="4ECA2335"/>
    <w:rsid w:val="511319C0"/>
    <w:rsid w:val="58D22D56"/>
    <w:rsid w:val="61ECC5F2"/>
    <w:rsid w:val="622984B5"/>
    <w:rsid w:val="659FEF4D"/>
    <w:rsid w:val="697DE087"/>
    <w:rsid w:val="74A4475A"/>
    <w:rsid w:val="7EFCE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AE6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8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H1,Znak"/>
    <w:basedOn w:val="Normalny"/>
    <w:next w:val="Normalny"/>
    <w:link w:val="Nagwek1Znak"/>
    <w:autoRedefine/>
    <w:uiPriority w:val="99"/>
    <w:qFormat/>
    <w:rsid w:val="00F25883"/>
    <w:pPr>
      <w:keepNext/>
      <w:keepLines/>
      <w:numPr>
        <w:numId w:val="1"/>
      </w:numPr>
      <w:spacing w:before="120"/>
      <w:jc w:val="both"/>
      <w:outlineLvl w:val="0"/>
    </w:pPr>
    <w:rPr>
      <w:rFonts w:ascii="Arial Narrow" w:eastAsiaTheme="majorEastAsia" w:hAnsi="Arial Narrow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9"/>
    <w:unhideWhenUsed/>
    <w:qFormat/>
    <w:rsid w:val="00E64AFF"/>
    <w:pPr>
      <w:keepNext/>
      <w:keepLines/>
      <w:numPr>
        <w:ilvl w:val="1"/>
        <w:numId w:val="1"/>
      </w:numPr>
      <w:tabs>
        <w:tab w:val="left" w:pos="426"/>
      </w:tabs>
      <w:spacing w:before="120"/>
      <w:jc w:val="both"/>
      <w:outlineLvl w:val="1"/>
    </w:pPr>
    <w:rPr>
      <w:rFonts w:ascii="Arial Narrow" w:eastAsiaTheme="majorEastAsia" w:hAnsi="Arial Narrow" w:cstheme="majorBidi"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F25883"/>
    <w:pPr>
      <w:keepNext/>
      <w:keepLines/>
      <w:numPr>
        <w:ilvl w:val="2"/>
        <w:numId w:val="1"/>
      </w:numPr>
      <w:spacing w:before="120"/>
      <w:jc w:val="both"/>
      <w:outlineLvl w:val="2"/>
    </w:pPr>
    <w:rPr>
      <w:rFonts w:ascii="Arial Narrow" w:eastAsiaTheme="majorEastAsia" w:hAnsi="Arial Narrow" w:cstheme="majorBidi"/>
      <w:bCs/>
    </w:rPr>
  </w:style>
  <w:style w:type="paragraph" w:styleId="Nagwek4">
    <w:name w:val="heading 4"/>
    <w:basedOn w:val="Normalny"/>
    <w:next w:val="Normalny"/>
    <w:link w:val="Nagwek4Znak"/>
    <w:autoRedefine/>
    <w:uiPriority w:val="99"/>
    <w:unhideWhenUsed/>
    <w:qFormat/>
    <w:rsid w:val="00F25883"/>
    <w:pPr>
      <w:keepNext/>
      <w:keepLines/>
      <w:numPr>
        <w:ilvl w:val="3"/>
        <w:numId w:val="1"/>
      </w:numPr>
      <w:spacing w:before="120"/>
      <w:ind w:left="2042" w:hanging="851"/>
      <w:jc w:val="both"/>
      <w:outlineLvl w:val="3"/>
    </w:pPr>
    <w:rPr>
      <w:rFonts w:ascii="Arial Narrow" w:eastAsiaTheme="majorEastAsia" w:hAnsi="Arial Narrow" w:cstheme="majorBidi"/>
      <w:bCs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25883"/>
    <w:pPr>
      <w:keepNext/>
      <w:keepLines/>
      <w:numPr>
        <w:ilvl w:val="4"/>
        <w:numId w:val="1"/>
      </w:numPr>
      <w:spacing w:before="120"/>
      <w:ind w:left="3175" w:hanging="1134"/>
      <w:jc w:val="both"/>
      <w:outlineLvl w:val="4"/>
    </w:pPr>
    <w:rPr>
      <w:rFonts w:ascii="Arial Narrow" w:eastAsiaTheme="majorEastAsia" w:hAnsi="Arial Narrow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258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258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258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258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5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883"/>
  </w:style>
  <w:style w:type="paragraph" w:styleId="Stopka">
    <w:name w:val="footer"/>
    <w:basedOn w:val="Normalny"/>
    <w:link w:val="StopkaZnak"/>
    <w:uiPriority w:val="99"/>
    <w:unhideWhenUsed/>
    <w:rsid w:val="00F25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883"/>
  </w:style>
  <w:style w:type="character" w:customStyle="1" w:styleId="Nagwek1Znak">
    <w:name w:val="Nagłówek 1 Znak"/>
    <w:aliases w:val="H1 Znak,Znak Znak"/>
    <w:basedOn w:val="Domylnaczcionkaakapitu"/>
    <w:link w:val="Nagwek1"/>
    <w:uiPriority w:val="99"/>
    <w:rsid w:val="00F25883"/>
    <w:rPr>
      <w:rFonts w:ascii="Arial Narrow" w:eastAsiaTheme="majorEastAsia" w:hAnsi="Arial Narrow" w:cstheme="majorBidi"/>
      <w:b/>
      <w:bCs/>
      <w:caps/>
      <w:sz w:val="24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E64AFF"/>
    <w:rPr>
      <w:rFonts w:ascii="Arial Narrow" w:eastAsiaTheme="majorEastAsia" w:hAnsi="Arial Narrow" w:cstheme="majorBidi"/>
      <w:bCs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F25883"/>
    <w:rPr>
      <w:rFonts w:ascii="Arial Narrow" w:eastAsiaTheme="majorEastAsia" w:hAnsi="Arial Narrow" w:cstheme="majorBidi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F25883"/>
    <w:rPr>
      <w:rFonts w:ascii="Arial Narrow" w:eastAsiaTheme="majorEastAsia" w:hAnsi="Arial Narrow" w:cstheme="majorBidi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F25883"/>
    <w:rPr>
      <w:rFonts w:ascii="Arial Narrow" w:eastAsiaTheme="majorEastAsia" w:hAnsi="Arial Narrow" w:cstheme="majorBid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F2588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F2588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F258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F258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DE32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2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2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2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2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2F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64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zmianka">
    <w:name w:val="Mention"/>
    <w:basedOn w:val="Domylnaczcionkaakapitu"/>
    <w:uiPriority w:val="99"/>
    <w:unhideWhenUsed/>
    <w:rsid w:val="00DE162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2025-11-26T15:12:00Z</dcterms:created>
  <dcterms:modified xsi:type="dcterms:W3CDTF">2025-11-26T15:12:00Z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50703f74,24f6bc16,15255fa2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2025-11-26T15:12:34Z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95a0a7bf-20f9-4a7e-9f2f-b51357a56fa2</vt:lpwstr>
  </property>
  <property fmtid="{D5CDD505-2E9C-101B-9397-08002B2CF9AE}" pid="11" name="MSIP_Label_514114f9-be46-4331-8fe2-8a463f84c1e9_ContentBits">
    <vt:lpwstr>1</vt:lpwstr>
  </property>
</Properties>
</file>